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3"/>
        <w:tabs>
          <w:tab w:val="right" w:pos="9639"/>
        </w:tabs>
        <w:spacing w:after="0"/>
        <w:rPr>
          <w:rFonts w:hint="default" w:eastAsia="宋体"/>
          <w:b/>
          <w:i/>
          <w:sz w:val="28"/>
          <w:lang w:val="en-US" w:eastAsia="zh-CN"/>
        </w:rPr>
      </w:pPr>
      <w:r>
        <w:rPr>
          <w:b/>
          <w:sz w:val="24"/>
        </w:rPr>
        <w:t>3GPP TSG-SA5 Meeting #165</w:t>
      </w:r>
      <w:r>
        <w:rPr>
          <w:b/>
          <w:i/>
          <w:sz w:val="28"/>
        </w:rPr>
        <w:tab/>
      </w:r>
      <w:r>
        <w:rPr>
          <w:b/>
          <w:i/>
          <w:sz w:val="28"/>
        </w:rPr>
        <w:t>S5-26</w:t>
      </w:r>
      <w:r>
        <w:rPr>
          <w:rFonts w:hint="eastAsia"/>
          <w:b/>
          <w:i/>
          <w:sz w:val="28"/>
          <w:lang w:val="en-US" w:eastAsia="zh-CN"/>
        </w:rPr>
        <w:t>0139</w:t>
      </w:r>
      <w:bookmarkStart w:id="11" w:name="_GoBack"/>
      <w:bookmarkEnd w:id="11"/>
    </w:p>
    <w:p w14:paraId="64C91465">
      <w:pPr>
        <w:pStyle w:val="35"/>
        <w:rPr>
          <w:sz w:val="22"/>
          <w:szCs w:val="22"/>
        </w:rPr>
      </w:pPr>
      <w:r>
        <w:rPr>
          <w:sz w:val="24"/>
        </w:rPr>
        <w:t>Goa, India, 09 - 13 February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r>
        <w:rPr>
          <w:rFonts w:ascii="Arial" w:hAnsi="Arial" w:cs="Arial"/>
          <w:b/>
          <w:bCs/>
          <w:lang w:val="en-US"/>
        </w:rPr>
        <w:t>, ZTE Corporation</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TR 32.801-01 Add</w:t>
      </w:r>
      <w:r>
        <w:rPr>
          <w:rFonts w:hint="default" w:ascii="Arial" w:hAnsi="Arial" w:cs="Arial"/>
          <w:b/>
          <w:bCs/>
          <w:lang w:val="en-US" w:eastAsia="zh-CN"/>
        </w:rPr>
        <w:t xml:space="preserve"> </w:t>
      </w:r>
      <w:r>
        <w:rPr>
          <w:rFonts w:hint="default" w:ascii="Arial" w:hAnsi="Arial" w:cs="Arial"/>
          <w:b/>
          <w:bCs/>
          <w:lang w:val="en-US"/>
        </w:rPr>
        <w:t>Carbon Footprint Management Scenarios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41D7AC78">
      <w:pPr>
        <w:rPr>
          <w:lang w:val="en-US"/>
        </w:rPr>
      </w:pPr>
      <w:r>
        <w:rPr>
          <w:lang w:val="en-US"/>
        </w:rPr>
        <w:t>This contribution proposes to add structure for TR 32.801-01 based on SP-251653</w:t>
      </w:r>
    </w:p>
    <w:p w14:paraId="04AEBE0A">
      <w:pPr>
        <w:pBdr>
          <w:bottom w:val="single" w:color="auto" w:sz="12" w:space="1"/>
        </w:pBdr>
        <w:rPr>
          <w:lang w:val="en-US"/>
        </w:rPr>
      </w:pPr>
    </w:p>
    <w:p w14:paraId="09CF4A2B">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C85F97">
      <w:pPr>
        <w:pStyle w:val="2"/>
      </w:pPr>
      <w:r>
        <w:t>6</w:t>
      </w:r>
      <w:r>
        <w:tab/>
      </w:r>
      <w:r>
        <w:t>6G Management Scenarios</w:t>
      </w:r>
    </w:p>
    <w:p w14:paraId="6579B6AF">
      <w:pPr>
        <w:pStyle w:val="3"/>
        <w:rPr>
          <w:lang w:eastAsia="zh-CN"/>
        </w:rPr>
      </w:pPr>
      <w:r>
        <w:rPr>
          <w:lang w:eastAsia="zh-CN"/>
        </w:rPr>
        <w:t>6.</w:t>
      </w:r>
      <w:r>
        <w:rPr>
          <w:rFonts w:hint="eastAsia"/>
          <w:lang w:val="en-US" w:eastAsia="zh-CN"/>
        </w:rPr>
        <w:t>x</w:t>
      </w:r>
      <w:r>
        <w:rPr>
          <w:lang w:eastAsia="zh-CN"/>
        </w:rPr>
        <w:t xml:space="preserve"> Enhanced and new management scenarios for 6G</w:t>
      </w:r>
    </w:p>
    <w:p w14:paraId="213EF54E">
      <w:pPr>
        <w:rPr>
          <w:i/>
        </w:rPr>
      </w:pPr>
      <w:r>
        <w:rPr>
          <w:i/>
        </w:rPr>
        <w:t>Editor's note 1: This clause will contain new 6G management scenarios and the corresponding requirements.</w:t>
      </w:r>
    </w:p>
    <w:p w14:paraId="23ED34B2">
      <w:pPr>
        <w:pStyle w:val="4"/>
        <w:rPr>
          <w:lang w:eastAsia="zh-CN"/>
        </w:rPr>
      </w:pPr>
      <w:r>
        <w:rPr>
          <w:lang w:eastAsia="zh-CN"/>
        </w:rPr>
        <w:t>6.</w:t>
      </w:r>
      <w:r>
        <w:rPr>
          <w:rFonts w:hint="eastAsia"/>
          <w:lang w:val="en-US" w:eastAsia="zh-CN"/>
        </w:rPr>
        <w:t>x</w:t>
      </w:r>
      <w:r>
        <w:rPr>
          <w:lang w:eastAsia="zh-CN"/>
        </w:rPr>
        <w:t>.</w:t>
      </w:r>
      <w:r>
        <w:rPr>
          <w:rFonts w:hint="eastAsia"/>
          <w:lang w:val="en-US" w:eastAsia="zh-CN"/>
        </w:rPr>
        <w:t>y</w:t>
      </w:r>
      <w:r>
        <w:rPr>
          <w:lang w:eastAsia="zh-CN"/>
        </w:rPr>
        <w:t xml:space="preserve"> &lt;</w:t>
      </w:r>
      <w:r>
        <w:rPr>
          <w:rFonts w:hint="eastAsia"/>
        </w:rPr>
        <w:t>Carbon Footprint Management</w:t>
      </w:r>
      <w:r>
        <w:rPr>
          <w:rFonts w:hint="eastAsia"/>
          <w:lang w:val="en-US" w:eastAsia="zh-CN"/>
        </w:rPr>
        <w:t xml:space="preserve"> </w:t>
      </w:r>
      <w:r>
        <w:rPr>
          <w:rFonts w:hint="eastAsia"/>
        </w:rPr>
        <w:t>Scenarios</w:t>
      </w:r>
      <w:r>
        <w:rPr>
          <w:lang w:eastAsia="zh-CN"/>
        </w:rPr>
        <w:t>#</w:t>
      </w:r>
      <w:r>
        <w:rPr>
          <w:rFonts w:hint="eastAsia"/>
          <w:lang w:val="en-US" w:eastAsia="zh-CN"/>
        </w:rPr>
        <w:t>1</w:t>
      </w:r>
      <w:r>
        <w:rPr>
          <w:lang w:eastAsia="zh-CN"/>
        </w:rPr>
        <w:t>&gt;</w:t>
      </w:r>
    </w:p>
    <w:p w14:paraId="4B042682">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 xml:space="preserve">.1 Management Scenario #&lt;1&gt;: </w:t>
      </w:r>
      <w:r>
        <w:rPr>
          <w:rFonts w:ascii="Arial" w:hAnsi="Arial"/>
          <w:sz w:val="28"/>
          <w:lang w:eastAsia="zh-CN"/>
        </w:rPr>
        <w:t>&lt;</w:t>
      </w:r>
      <w:r>
        <w:rPr>
          <w:rFonts w:hint="default"/>
          <w:sz w:val="28"/>
          <w:lang w:eastAsia="zh-CN"/>
        </w:rPr>
        <w:t>Carbon Emission Monitoring and Reporting</w:t>
      </w:r>
      <w:r>
        <w:rPr>
          <w:rFonts w:ascii="Arial" w:hAnsi="Arial"/>
          <w:sz w:val="28"/>
          <w:lang w:eastAsia="zh-CN"/>
        </w:rPr>
        <w:t>&gt;</w:t>
      </w:r>
    </w:p>
    <w:p w14:paraId="07D8BE49">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.1 Description</w:t>
      </w:r>
    </w:p>
    <w:p w14:paraId="1DB5693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This scenario aims to achieve refined and adaptive energy saving for high-energy consumption 6G base stations, while ensuring strict service quality and user experience. Its core lies in utilizing artificial intelligence and big data analysis to perform real-time sensing and accurate prediction of network traffic, business demands, channel environment, and equipment status. By dynamically adjusting the operation mode, resource allocation, and hardware power consumption state of the base station, it achieves an optimal dynamic balance between energy efficiency and network performance.</w:t>
      </w:r>
    </w:p>
    <w:p w14:paraId="38E51BB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For example, dynamic symbol/slot shutdown based on load prediction and channel sensing is implemented in the wireless access network. For 6G base stations with obvious traffic tidal effects in the coverage area, the system can predict the low traffic periods and implement deep energy saving for wireless resource units that are idle or without traffic transmission. The business process is as follows:</w:t>
      </w:r>
    </w:p>
    <w:p w14:paraId="060D3CB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The 1.6G base station continuously collects real-time service loads (such as user count, throughput, service type), precise channel state information (CSI), and fine-grained power consumption data of various components within the base station (radio frequency unit, baseband processing unit, cooling system).</w:t>
      </w:r>
    </w:p>
    <w:p w14:paraId="2F39DDB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2. The edge computing node (or the AI unit integrated into the gNB) predicts the traffic load trend and channel quality changes in the next few minutes to several hours based on short-term historical data and contextual information (such as time, geographical location, and social events).</w:t>
      </w:r>
    </w:p>
    <w:p w14:paraId="1DE0E9B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3. The regional energy-saving controller integrates multi-base station prediction information and network topology, and utilizes a global optimization model to calculate an optimal energy-saving strategy that ensures coverage and meets KPI (such as latency and rate) constraints. For example, it decides to switch 10% of the wireless symbol periods in Cell A to sleep mode for the next 30 minutes and seamlessly migrate some edge users to the adjacent Cell B.</w:t>
      </w:r>
    </w:p>
    <w:p w14:paraId="59AA154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4. The regional energy-saving controller generates and confirms the energy-saving strategy script, and issues it to the target base station OMC through the interface.</w:t>
      </w:r>
    </w:p>
    <w:p w14:paraId="444BEA5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5. The target base station OMC executes operational instructions on the target base station, precisely controls the start and stop of RF channels, dynamically scales baseband processing resources, and adjusts the beamforming mode of the antenna to match the contracted coverage requirements.</w:t>
      </w:r>
    </w:p>
    <w:p w14:paraId="1379322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6. The energy-saving controller continuously monitors the key performance indicators (user experience rate, latency, offline rate) and energy-saving effect (power consumption reduction) after the implementation of energy-saving actions. Once a performance deviation exceeding the threshold is detected, or a predicted load rebound ahead of time occurs, it will immediately trigger policy adjustments and update the prediction and optimization models.</w:t>
      </w:r>
    </w:p>
    <w:p w14:paraId="4DD6B91A">
      <w:pPr>
        <w:ind w:firstLine="420" w:firstLineChars="200"/>
        <w:rPr>
          <w:rFonts w:ascii="Segoe UI" w:hAnsi="Segoe UI" w:eastAsia="Segoe UI" w:cs="Segoe UI"/>
          <w:color w:val="0F1115"/>
          <w:sz w:val="21"/>
          <w:szCs w:val="21"/>
          <w:shd w:val="clear" w:fill="FFFFFF"/>
          <w:lang w:eastAsia="zh-CN"/>
        </w:rPr>
      </w:pPr>
    </w:p>
    <w:p w14:paraId="6FAEF910">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.2 Potential Requirements</w:t>
      </w:r>
    </w:p>
    <w:p w14:paraId="28FF81E7">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72CD6B1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[Biz-Req-1] The 3GPP management system should support fine-grained real-time collection and aggregation of base station traffic load, channel status, and component power consumption, forming a unified energy consumption analysis data view.</w:t>
      </w:r>
    </w:p>
    <w:p w14:paraId="5AB4137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[Biz-Req-2] The 3GPP management system should predict network load based on AI algorithms and automatically generate collaborative energy-saving strategies across multiple base stations while ensuring compliance with SLA constraints.</w:t>
      </w:r>
    </w:p>
    <w:p w14:paraId="2E11758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[Biz-Req-3] The 3GPP management system should be able to safely implement energy-saving strategies, precisely control operations such as symbol switching off and beam adjustment, and possess lossless fallback capabilities.</w:t>
      </w:r>
    </w:p>
    <w:p w14:paraId="6F5E7D3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[Biz-Req-4] The 3GPP management system should establish a closed-loop monitoring and evaluation mechanism for energy-saving effects and network performance, driving continuous adaptive optimization of strategies and predictive models.</w:t>
      </w:r>
    </w:p>
    <w:p w14:paraId="03894076">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0AF74E81">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3AF1502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Predictive Modeling and Unified View of Network Energy Dynamics</w:t>
      </w:r>
    </w:p>
    <w:p w14:paraId="4A426A7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refined energy conservation, the management system needs to address how to uniformly model, real-time perceive, and make high-precision short-term predictions for the multi-dimensional dynamic factors (service load, channel quality, hardware status) that affect the energy consumption of base stations, providing reliable input for optimization decisions.</w:t>
      </w:r>
    </w:p>
    <w:p w14:paraId="4CDC5E5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16C4F88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define a standardized energy consumption-related data element model to uniformly describe business volume, wireless channel information (CSI), real-time power consumption, and energy efficiency indicators of various hardware modules (RU/DU/CU).</w:t>
      </w:r>
    </w:p>
    <w:p w14:paraId="0C31FCB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support the collection of fine-grained power consumption data and contextual information from base stations at a high frequency (such as second-level), and perform real-time aggregation and preprocessing through edge nodes.</w:t>
      </w:r>
    </w:p>
    <w:p w14:paraId="7FA3BE9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integrate or provide interfaces for predictive algorithms (such as spatiotemporal sequence prediction models), enabling multi-step accurate predictions of future traffic load and channel conditions at the cell/regional level based on historical and real-time data.</w:t>
      </w:r>
    </w:p>
    <w:p w14:paraId="0BBC10E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7C9F808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Multi-objective, Constraint-aware Collaborative Energy Saving Optimization</w:t>
      </w:r>
    </w:p>
    <w:p w14:paraId="04E3458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maximize energy-saving effects while ensuring network KPIs, the management system needs to address how to solve the multi-objective (energy efficiency, performance) optimization problem that satisfies complex constraints (coverage, latency, interference) in a multi-base station collaboration scenario, and generate specific and executable collaborative strategies.</w:t>
      </w:r>
    </w:p>
    <w:p w14:paraId="4B025EE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4E7F5D7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be equipped with a built-in multi-objective optimization engine, capable of simultaneously considering energy-saving benefits (such as power consumption reduction) and performance costs (such as potential decline in user experience), and searching for optimal or satisfactory solutions on the Pareto frontier.</w:t>
      </w:r>
    </w:p>
    <w:p w14:paraId="45F2F97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optimization engine of the management system must strictly handle various network constraints, including but not limited to: minimum coverage requirements, KPI thresholds for various business SLAs, adjacent cell interference limits, and hardware action restrictions of the equipment itself (such as wake-up latency).</w:t>
      </w:r>
    </w:p>
    <w:p w14:paraId="63C852B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management system should support the generation of specific operational instructions based on a policy template library, such as converting high-level optimization results ("Energy saving by 10% in Cell A") into specific "symbol off mode parameters", "edge user migration target cell list", and "beamforming codebook index".</w:t>
      </w:r>
    </w:p>
    <w:p w14:paraId="29AE3CC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1F3BF93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Safe, Granular and Atomic Execution of Energy-saving Actions</w:t>
      </w:r>
    </w:p>
    <w:p w14:paraId="78E71BA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ensure that energy-saving operations do not affect user experience and network stability, the management system needs to address how to safely and accurately convert optimization strategies into executable atomic operations for devices, and achieve user-imperceptible execution and rapid fault isolation during the execution process.</w:t>
      </w:r>
    </w:p>
    <w:p w14:paraId="7D6E4B4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036FBBF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perform pre-execution verification on the generated energy-saving strategy scripts, utilizing lightweight simulation or rule checking to ensure that they do not cause coverage gaps, switching storms, or SLA violations.</w:t>
      </w:r>
    </w:p>
    <w:p w14:paraId="31975BA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support the decomposition of policies into a series of atomic operations and issue them through a transactional mechanism, ensuring that operations such as "turning off symbols" and "adjusting beams" either all succeed or all roll back, maintaining consistent state.</w:t>
      </w:r>
    </w:p>
    <w:p w14:paraId="29856F1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implement lossless or smooth energy-saving actions, such as gradually reducing coverage using "Cell Breathing" technology, or executing deep hardware hibernation during predicted idle periods, to minimize the impact on active users.</w:t>
      </w:r>
    </w:p>
    <w:p w14:paraId="07B6CAE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565BD52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Closed-loop Performance Assurance and Adaptive Policy Evolution</w:t>
      </w:r>
    </w:p>
    <w:p w14:paraId="3590947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address the dynamic nature of the network and continuously enhance energy-saving effects, the management system needs to address how to establish a rapid feedback and evaluation loop, and utilize evaluation data to drive adaptive iterative updates of predictive models and optimization strategies.</w:t>
      </w:r>
    </w:p>
    <w:p w14:paraId="7295DD9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6821307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monitor key performance indicators (KPIs) and energy consumption indicators in real-time after the execution of energy-saving actions, automatically calculate the "performance change rate" and "energy-saving efficiency", and compare them with the expected targets.</w:t>
      </w:r>
    </w:p>
    <w:p w14:paraId="102ED0D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establish an energy-saving case knowledge base, which fully records the input (predictive data), output (strategy), result (effect evaluation), and environmental context (such as time and weather) of each optimization decision, supporting historical query and root cause analysis.</w:t>
      </w:r>
    </w:p>
    <w:p w14:paraId="5FF5D9B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provide an online learning and tuning mechanism. When it detects a continuous increase in prediction bias or long-term substandard optimization results, it should automatically trigger model retraining or strategy parameter adjustment, enabling autonomous evolution of energy-saving strategies.</w:t>
      </w:r>
    </w:p>
    <w:p w14:paraId="198684D7">
      <w:pPr>
        <w:pStyle w:val="76"/>
        <w:jc w:val="both"/>
        <w:rPr>
          <w:lang w:eastAsia="zh-CN"/>
        </w:rPr>
      </w:pPr>
    </w:p>
    <w:p w14:paraId="125B765D">
      <w:pPr>
        <w:pStyle w:val="76"/>
        <w:jc w:val="both"/>
        <w:rPr>
          <w:lang w:eastAsia="zh-CN"/>
        </w:rPr>
      </w:pPr>
    </w:p>
    <w:p w14:paraId="15F76069"/>
    <w:p w14:paraId="4E3A6C0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4EC76C">
      <w:pPr>
        <w:pStyle w:val="11"/>
      </w:pPr>
      <w:bookmarkStart w:id="0" w:name="_Toc215665857"/>
      <w:bookmarkStart w:id="1" w:name="_Toc214981708"/>
      <w:bookmarkStart w:id="2" w:name="_Toc204948731"/>
      <w:bookmarkStart w:id="3" w:name="_Toc214989633"/>
      <w:bookmarkStart w:id="4" w:name="_Toc215056210"/>
      <w:bookmarkStart w:id="5" w:name="_Toc204948604"/>
      <w:bookmarkStart w:id="6" w:name="_Toc206752147"/>
      <w:r>
        <w:t>Annex A:</w:t>
      </w:r>
      <w:r>
        <w:br w:type="textWrapping"/>
      </w:r>
      <w:bookmarkEnd w:id="0"/>
      <w:bookmarkEnd w:id="1"/>
      <w:bookmarkEnd w:id="2"/>
      <w:bookmarkEnd w:id="3"/>
      <w:bookmarkEnd w:id="4"/>
      <w:bookmarkEnd w:id="5"/>
      <w:bookmarkEnd w:id="6"/>
      <w:r>
        <w:t>Management Scenarios, Key Issues, and Solutions Mapping</w:t>
      </w:r>
    </w:p>
    <w:p w14:paraId="13453847">
      <w:pPr>
        <w:pStyle w:val="2"/>
      </w:pPr>
      <w:bookmarkStart w:id="7" w:name="_Toc214989635"/>
      <w:bookmarkStart w:id="8" w:name="_Toc215056212"/>
      <w:bookmarkStart w:id="9" w:name="_Toc214981710"/>
      <w:bookmarkStart w:id="10" w:name="_Toc215665859"/>
      <w:r>
        <w:t>A.1</w:t>
      </w:r>
      <w:r>
        <w:tab/>
      </w:r>
      <w:r>
        <w:t>Mapping between Management Scenarios and Key Issues</w:t>
      </w:r>
      <w:bookmarkEnd w:id="7"/>
      <w:bookmarkEnd w:id="8"/>
      <w:bookmarkEnd w:id="9"/>
      <w:bookmarkEnd w:id="10"/>
    </w:p>
    <w:p w14:paraId="618CBE8D">
      <w:pPr>
        <w:pStyle w:val="58"/>
      </w:pPr>
      <w:r>
        <w:t>Table A.2-1: Mapping of Key Issues to Management Scenarios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67"/>
        <w:gridCol w:w="351"/>
        <w:gridCol w:w="542"/>
        <w:gridCol w:w="544"/>
        <w:gridCol w:w="544"/>
        <w:gridCol w:w="544"/>
        <w:gridCol w:w="544"/>
        <w:gridCol w:w="544"/>
        <w:gridCol w:w="544"/>
        <w:gridCol w:w="615"/>
        <w:gridCol w:w="615"/>
        <w:gridCol w:w="615"/>
        <w:gridCol w:w="615"/>
        <w:gridCol w:w="615"/>
      </w:tblGrid>
      <w:tr w14:paraId="7989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96" w:type="dxa"/>
            <w:vMerge w:val="restart"/>
          </w:tcPr>
          <w:p w14:paraId="6F77215A">
            <w:pPr>
              <w:pStyle w:val="54"/>
              <w:rPr>
                <w:sz w:val="16"/>
                <w:szCs w:val="16"/>
              </w:rPr>
            </w:pPr>
            <w:r>
              <w:rPr>
                <w:sz w:val="16"/>
                <w:szCs w:val="16"/>
              </w:rPr>
              <w:t>Key Issues</w:t>
            </w:r>
          </w:p>
        </w:tc>
        <w:tc>
          <w:tcPr>
            <w:tcW w:w="7799" w:type="dxa"/>
            <w:gridSpan w:val="14"/>
          </w:tcPr>
          <w:p w14:paraId="48477CBF">
            <w:pPr>
              <w:pStyle w:val="54"/>
              <w:rPr>
                <w:szCs w:val="18"/>
              </w:rPr>
            </w:pPr>
            <w:r>
              <w:rPr>
                <w:sz w:val="16"/>
                <w:szCs w:val="16"/>
              </w:rPr>
              <w:t>Management Scenarios</w:t>
            </w:r>
          </w:p>
        </w:tc>
      </w:tr>
      <w:tr w14:paraId="61F1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696" w:type="dxa"/>
            <w:vMerge w:val="continue"/>
          </w:tcPr>
          <w:p w14:paraId="2A02A82D">
            <w:pPr>
              <w:pStyle w:val="54"/>
              <w:rPr>
                <w:sz w:val="16"/>
                <w:szCs w:val="16"/>
              </w:rPr>
            </w:pPr>
          </w:p>
        </w:tc>
        <w:tc>
          <w:tcPr>
            <w:tcW w:w="567" w:type="dxa"/>
          </w:tcPr>
          <w:p w14:paraId="42FA9EB0">
            <w:pPr>
              <w:pStyle w:val="54"/>
              <w:rPr>
                <w:sz w:val="14"/>
                <w:szCs w:val="16"/>
              </w:rPr>
            </w:pPr>
            <w:r>
              <w:rPr>
                <w:sz w:val="14"/>
                <w:szCs w:val="16"/>
              </w:rPr>
              <w:t>1</w:t>
            </w:r>
          </w:p>
        </w:tc>
        <w:tc>
          <w:tcPr>
            <w:tcW w:w="351" w:type="dxa"/>
          </w:tcPr>
          <w:p w14:paraId="23A6A5B3">
            <w:pPr>
              <w:pStyle w:val="54"/>
              <w:rPr>
                <w:sz w:val="14"/>
                <w:szCs w:val="16"/>
              </w:rPr>
            </w:pPr>
            <w:r>
              <w:rPr>
                <w:sz w:val="14"/>
                <w:szCs w:val="16"/>
              </w:rPr>
              <w:t>2</w:t>
            </w:r>
          </w:p>
        </w:tc>
        <w:tc>
          <w:tcPr>
            <w:tcW w:w="542" w:type="dxa"/>
          </w:tcPr>
          <w:p w14:paraId="4B2F7CBF">
            <w:pPr>
              <w:pStyle w:val="54"/>
              <w:rPr>
                <w:sz w:val="14"/>
                <w:szCs w:val="16"/>
              </w:rPr>
            </w:pPr>
            <w:r>
              <w:rPr>
                <w:sz w:val="14"/>
                <w:szCs w:val="16"/>
              </w:rPr>
              <w:t>3</w:t>
            </w:r>
          </w:p>
        </w:tc>
        <w:tc>
          <w:tcPr>
            <w:tcW w:w="544" w:type="dxa"/>
          </w:tcPr>
          <w:p w14:paraId="77D1987B">
            <w:pPr>
              <w:pStyle w:val="54"/>
              <w:rPr>
                <w:sz w:val="14"/>
                <w:szCs w:val="16"/>
              </w:rPr>
            </w:pPr>
            <w:r>
              <w:rPr>
                <w:sz w:val="14"/>
                <w:szCs w:val="16"/>
              </w:rPr>
              <w:t>4</w:t>
            </w:r>
          </w:p>
        </w:tc>
        <w:tc>
          <w:tcPr>
            <w:tcW w:w="544" w:type="dxa"/>
          </w:tcPr>
          <w:p w14:paraId="3ED39281">
            <w:pPr>
              <w:pStyle w:val="54"/>
              <w:rPr>
                <w:sz w:val="14"/>
                <w:szCs w:val="16"/>
              </w:rPr>
            </w:pPr>
            <w:r>
              <w:rPr>
                <w:sz w:val="14"/>
                <w:szCs w:val="16"/>
              </w:rPr>
              <w:t>5</w:t>
            </w:r>
          </w:p>
        </w:tc>
        <w:tc>
          <w:tcPr>
            <w:tcW w:w="544" w:type="dxa"/>
          </w:tcPr>
          <w:p w14:paraId="55A84763">
            <w:pPr>
              <w:pStyle w:val="54"/>
              <w:rPr>
                <w:sz w:val="14"/>
                <w:szCs w:val="16"/>
              </w:rPr>
            </w:pPr>
            <w:r>
              <w:rPr>
                <w:sz w:val="14"/>
                <w:szCs w:val="16"/>
              </w:rPr>
              <w:t>6</w:t>
            </w:r>
          </w:p>
        </w:tc>
        <w:tc>
          <w:tcPr>
            <w:tcW w:w="544" w:type="dxa"/>
          </w:tcPr>
          <w:p w14:paraId="33C789B7">
            <w:pPr>
              <w:pStyle w:val="54"/>
              <w:rPr>
                <w:sz w:val="14"/>
                <w:szCs w:val="16"/>
              </w:rPr>
            </w:pPr>
            <w:r>
              <w:rPr>
                <w:sz w:val="14"/>
                <w:szCs w:val="16"/>
              </w:rPr>
              <w:t>7</w:t>
            </w:r>
          </w:p>
        </w:tc>
        <w:tc>
          <w:tcPr>
            <w:tcW w:w="544" w:type="dxa"/>
          </w:tcPr>
          <w:p w14:paraId="08FB08C7">
            <w:pPr>
              <w:pStyle w:val="54"/>
              <w:rPr>
                <w:sz w:val="14"/>
                <w:szCs w:val="16"/>
              </w:rPr>
            </w:pPr>
            <w:r>
              <w:rPr>
                <w:sz w:val="14"/>
                <w:szCs w:val="16"/>
              </w:rPr>
              <w:t>8</w:t>
            </w:r>
          </w:p>
        </w:tc>
        <w:tc>
          <w:tcPr>
            <w:tcW w:w="544" w:type="dxa"/>
          </w:tcPr>
          <w:p w14:paraId="218C5EDC">
            <w:pPr>
              <w:pStyle w:val="54"/>
              <w:rPr>
                <w:sz w:val="14"/>
                <w:szCs w:val="16"/>
              </w:rPr>
            </w:pPr>
            <w:r>
              <w:rPr>
                <w:sz w:val="14"/>
                <w:szCs w:val="16"/>
              </w:rPr>
              <w:t>9</w:t>
            </w:r>
          </w:p>
        </w:tc>
        <w:tc>
          <w:tcPr>
            <w:tcW w:w="615" w:type="dxa"/>
          </w:tcPr>
          <w:p w14:paraId="211FE9FA">
            <w:pPr>
              <w:pStyle w:val="54"/>
              <w:rPr>
                <w:sz w:val="14"/>
                <w:szCs w:val="16"/>
              </w:rPr>
            </w:pPr>
            <w:r>
              <w:rPr>
                <w:sz w:val="14"/>
                <w:szCs w:val="16"/>
              </w:rPr>
              <w:t>10</w:t>
            </w:r>
          </w:p>
        </w:tc>
        <w:tc>
          <w:tcPr>
            <w:tcW w:w="615" w:type="dxa"/>
          </w:tcPr>
          <w:p w14:paraId="605FDD4E">
            <w:pPr>
              <w:pStyle w:val="54"/>
              <w:rPr>
                <w:sz w:val="14"/>
                <w:szCs w:val="16"/>
              </w:rPr>
            </w:pPr>
            <w:r>
              <w:rPr>
                <w:sz w:val="14"/>
                <w:szCs w:val="16"/>
              </w:rPr>
              <w:t>11</w:t>
            </w:r>
          </w:p>
        </w:tc>
        <w:tc>
          <w:tcPr>
            <w:tcW w:w="615" w:type="dxa"/>
          </w:tcPr>
          <w:p w14:paraId="58B9F019">
            <w:pPr>
              <w:pStyle w:val="54"/>
              <w:rPr>
                <w:sz w:val="14"/>
                <w:szCs w:val="16"/>
              </w:rPr>
            </w:pPr>
            <w:r>
              <w:rPr>
                <w:sz w:val="14"/>
                <w:szCs w:val="16"/>
              </w:rPr>
              <w:t>12</w:t>
            </w:r>
          </w:p>
        </w:tc>
        <w:tc>
          <w:tcPr>
            <w:tcW w:w="615" w:type="dxa"/>
          </w:tcPr>
          <w:p w14:paraId="703CC519">
            <w:pPr>
              <w:pStyle w:val="54"/>
              <w:rPr>
                <w:sz w:val="14"/>
                <w:szCs w:val="16"/>
              </w:rPr>
            </w:pPr>
            <w:r>
              <w:rPr>
                <w:sz w:val="14"/>
                <w:szCs w:val="16"/>
              </w:rPr>
              <w:t>13</w:t>
            </w:r>
          </w:p>
        </w:tc>
        <w:tc>
          <w:tcPr>
            <w:tcW w:w="615" w:type="dxa"/>
          </w:tcPr>
          <w:p w14:paraId="66623E00">
            <w:pPr>
              <w:pStyle w:val="54"/>
              <w:rPr>
                <w:sz w:val="14"/>
                <w:szCs w:val="16"/>
              </w:rPr>
            </w:pPr>
            <w:r>
              <w:rPr>
                <w:sz w:val="14"/>
                <w:szCs w:val="16"/>
              </w:rPr>
              <w:t>14</w:t>
            </w:r>
          </w:p>
        </w:tc>
      </w:tr>
      <w:tr w14:paraId="6586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696" w:type="dxa"/>
          </w:tcPr>
          <w:p w14:paraId="06A86DBE">
            <w:pPr>
              <w:pStyle w:val="54"/>
              <w:rPr>
                <w:sz w:val="14"/>
                <w:szCs w:val="14"/>
              </w:rPr>
            </w:pPr>
            <w:r>
              <w:rPr>
                <w:sz w:val="14"/>
                <w:szCs w:val="14"/>
              </w:rPr>
              <w:t>#1</w:t>
            </w:r>
          </w:p>
        </w:tc>
        <w:tc>
          <w:tcPr>
            <w:tcW w:w="567" w:type="dxa"/>
          </w:tcPr>
          <w:p w14:paraId="0686CD72">
            <w:pPr>
              <w:pStyle w:val="55"/>
              <w:rPr>
                <w:sz w:val="14"/>
                <w:szCs w:val="14"/>
              </w:rPr>
            </w:pPr>
          </w:p>
        </w:tc>
        <w:tc>
          <w:tcPr>
            <w:tcW w:w="351" w:type="dxa"/>
          </w:tcPr>
          <w:p w14:paraId="7C844376">
            <w:pPr>
              <w:pStyle w:val="55"/>
              <w:rPr>
                <w:sz w:val="14"/>
                <w:szCs w:val="14"/>
              </w:rPr>
            </w:pPr>
          </w:p>
        </w:tc>
        <w:tc>
          <w:tcPr>
            <w:tcW w:w="542" w:type="dxa"/>
          </w:tcPr>
          <w:p w14:paraId="791CF6C8">
            <w:pPr>
              <w:pStyle w:val="55"/>
              <w:rPr>
                <w:sz w:val="14"/>
                <w:szCs w:val="14"/>
              </w:rPr>
            </w:pPr>
          </w:p>
        </w:tc>
        <w:tc>
          <w:tcPr>
            <w:tcW w:w="544" w:type="dxa"/>
          </w:tcPr>
          <w:p w14:paraId="67344CAB">
            <w:pPr>
              <w:pStyle w:val="55"/>
              <w:rPr>
                <w:sz w:val="14"/>
                <w:szCs w:val="14"/>
              </w:rPr>
            </w:pPr>
          </w:p>
        </w:tc>
        <w:tc>
          <w:tcPr>
            <w:tcW w:w="544" w:type="dxa"/>
          </w:tcPr>
          <w:p w14:paraId="5C6E1941">
            <w:pPr>
              <w:pStyle w:val="55"/>
              <w:rPr>
                <w:sz w:val="14"/>
                <w:szCs w:val="14"/>
              </w:rPr>
            </w:pPr>
          </w:p>
        </w:tc>
        <w:tc>
          <w:tcPr>
            <w:tcW w:w="544" w:type="dxa"/>
          </w:tcPr>
          <w:p w14:paraId="06CBCA5A">
            <w:pPr>
              <w:pStyle w:val="55"/>
              <w:rPr>
                <w:sz w:val="14"/>
                <w:szCs w:val="14"/>
              </w:rPr>
            </w:pPr>
          </w:p>
        </w:tc>
        <w:tc>
          <w:tcPr>
            <w:tcW w:w="544" w:type="dxa"/>
          </w:tcPr>
          <w:p w14:paraId="531E9C36">
            <w:pPr>
              <w:pStyle w:val="55"/>
              <w:rPr>
                <w:sz w:val="14"/>
                <w:szCs w:val="14"/>
              </w:rPr>
            </w:pPr>
          </w:p>
        </w:tc>
        <w:tc>
          <w:tcPr>
            <w:tcW w:w="544" w:type="dxa"/>
          </w:tcPr>
          <w:p w14:paraId="585BA253">
            <w:pPr>
              <w:pStyle w:val="55"/>
              <w:rPr>
                <w:sz w:val="14"/>
                <w:szCs w:val="14"/>
              </w:rPr>
            </w:pPr>
          </w:p>
        </w:tc>
        <w:tc>
          <w:tcPr>
            <w:tcW w:w="544" w:type="dxa"/>
          </w:tcPr>
          <w:p w14:paraId="4E6F3AC5">
            <w:pPr>
              <w:pStyle w:val="55"/>
              <w:rPr>
                <w:sz w:val="14"/>
                <w:szCs w:val="14"/>
              </w:rPr>
            </w:pPr>
          </w:p>
        </w:tc>
        <w:tc>
          <w:tcPr>
            <w:tcW w:w="615" w:type="dxa"/>
          </w:tcPr>
          <w:p w14:paraId="1C2E71A2">
            <w:pPr>
              <w:pStyle w:val="55"/>
              <w:rPr>
                <w:sz w:val="14"/>
                <w:szCs w:val="14"/>
              </w:rPr>
            </w:pPr>
          </w:p>
        </w:tc>
        <w:tc>
          <w:tcPr>
            <w:tcW w:w="615" w:type="dxa"/>
          </w:tcPr>
          <w:p w14:paraId="3CCA1411">
            <w:pPr>
              <w:pStyle w:val="55"/>
              <w:rPr>
                <w:sz w:val="14"/>
                <w:szCs w:val="14"/>
              </w:rPr>
            </w:pPr>
          </w:p>
        </w:tc>
        <w:tc>
          <w:tcPr>
            <w:tcW w:w="615" w:type="dxa"/>
          </w:tcPr>
          <w:p w14:paraId="2F709D34">
            <w:pPr>
              <w:pStyle w:val="55"/>
              <w:rPr>
                <w:sz w:val="14"/>
                <w:szCs w:val="14"/>
              </w:rPr>
            </w:pPr>
          </w:p>
        </w:tc>
        <w:tc>
          <w:tcPr>
            <w:tcW w:w="615" w:type="dxa"/>
          </w:tcPr>
          <w:p w14:paraId="0E4BA33E">
            <w:pPr>
              <w:pStyle w:val="55"/>
              <w:rPr>
                <w:sz w:val="14"/>
                <w:szCs w:val="14"/>
              </w:rPr>
            </w:pPr>
          </w:p>
        </w:tc>
        <w:tc>
          <w:tcPr>
            <w:tcW w:w="615" w:type="dxa"/>
          </w:tcPr>
          <w:p w14:paraId="06C242B7">
            <w:pPr>
              <w:pStyle w:val="55"/>
              <w:rPr>
                <w:sz w:val="14"/>
                <w:szCs w:val="14"/>
              </w:rPr>
            </w:pPr>
          </w:p>
        </w:tc>
      </w:tr>
      <w:tr w14:paraId="2F99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96" w:type="dxa"/>
          </w:tcPr>
          <w:p w14:paraId="64C6DBDD">
            <w:pPr>
              <w:pStyle w:val="54"/>
              <w:rPr>
                <w:sz w:val="14"/>
                <w:szCs w:val="14"/>
              </w:rPr>
            </w:pPr>
            <w:r>
              <w:rPr>
                <w:sz w:val="14"/>
                <w:szCs w:val="14"/>
              </w:rPr>
              <w:t xml:space="preserve">#2 </w:t>
            </w:r>
          </w:p>
        </w:tc>
        <w:tc>
          <w:tcPr>
            <w:tcW w:w="567" w:type="dxa"/>
          </w:tcPr>
          <w:p w14:paraId="3BED99B5">
            <w:pPr>
              <w:pStyle w:val="55"/>
              <w:rPr>
                <w:sz w:val="14"/>
                <w:szCs w:val="14"/>
              </w:rPr>
            </w:pPr>
          </w:p>
        </w:tc>
        <w:tc>
          <w:tcPr>
            <w:tcW w:w="351" w:type="dxa"/>
          </w:tcPr>
          <w:p w14:paraId="252E883A">
            <w:pPr>
              <w:pStyle w:val="55"/>
              <w:rPr>
                <w:sz w:val="14"/>
                <w:szCs w:val="14"/>
              </w:rPr>
            </w:pPr>
          </w:p>
        </w:tc>
        <w:tc>
          <w:tcPr>
            <w:tcW w:w="542" w:type="dxa"/>
          </w:tcPr>
          <w:p w14:paraId="052CD9E3">
            <w:pPr>
              <w:pStyle w:val="55"/>
              <w:rPr>
                <w:sz w:val="14"/>
                <w:szCs w:val="14"/>
              </w:rPr>
            </w:pPr>
          </w:p>
        </w:tc>
        <w:tc>
          <w:tcPr>
            <w:tcW w:w="544" w:type="dxa"/>
          </w:tcPr>
          <w:p w14:paraId="24AF9183">
            <w:pPr>
              <w:pStyle w:val="55"/>
              <w:rPr>
                <w:sz w:val="14"/>
                <w:szCs w:val="14"/>
              </w:rPr>
            </w:pPr>
          </w:p>
        </w:tc>
        <w:tc>
          <w:tcPr>
            <w:tcW w:w="544" w:type="dxa"/>
          </w:tcPr>
          <w:p w14:paraId="7E6E2355">
            <w:pPr>
              <w:pStyle w:val="55"/>
              <w:rPr>
                <w:sz w:val="14"/>
                <w:szCs w:val="14"/>
              </w:rPr>
            </w:pPr>
          </w:p>
        </w:tc>
        <w:tc>
          <w:tcPr>
            <w:tcW w:w="544" w:type="dxa"/>
          </w:tcPr>
          <w:p w14:paraId="624E5E6D">
            <w:pPr>
              <w:pStyle w:val="55"/>
              <w:rPr>
                <w:sz w:val="14"/>
                <w:szCs w:val="14"/>
              </w:rPr>
            </w:pPr>
          </w:p>
        </w:tc>
        <w:tc>
          <w:tcPr>
            <w:tcW w:w="544" w:type="dxa"/>
          </w:tcPr>
          <w:p w14:paraId="738960D3">
            <w:pPr>
              <w:pStyle w:val="55"/>
              <w:rPr>
                <w:sz w:val="14"/>
                <w:szCs w:val="14"/>
              </w:rPr>
            </w:pPr>
          </w:p>
        </w:tc>
        <w:tc>
          <w:tcPr>
            <w:tcW w:w="544" w:type="dxa"/>
          </w:tcPr>
          <w:p w14:paraId="785467B3">
            <w:pPr>
              <w:pStyle w:val="55"/>
              <w:rPr>
                <w:sz w:val="14"/>
                <w:szCs w:val="14"/>
              </w:rPr>
            </w:pPr>
          </w:p>
        </w:tc>
        <w:tc>
          <w:tcPr>
            <w:tcW w:w="544" w:type="dxa"/>
          </w:tcPr>
          <w:p w14:paraId="591B3157">
            <w:pPr>
              <w:pStyle w:val="55"/>
              <w:rPr>
                <w:sz w:val="14"/>
                <w:szCs w:val="14"/>
              </w:rPr>
            </w:pPr>
          </w:p>
        </w:tc>
        <w:tc>
          <w:tcPr>
            <w:tcW w:w="615" w:type="dxa"/>
          </w:tcPr>
          <w:p w14:paraId="0340C56E">
            <w:pPr>
              <w:pStyle w:val="55"/>
              <w:rPr>
                <w:sz w:val="14"/>
                <w:szCs w:val="14"/>
              </w:rPr>
            </w:pPr>
          </w:p>
        </w:tc>
        <w:tc>
          <w:tcPr>
            <w:tcW w:w="615" w:type="dxa"/>
          </w:tcPr>
          <w:p w14:paraId="66E2B2DF">
            <w:pPr>
              <w:pStyle w:val="55"/>
              <w:rPr>
                <w:sz w:val="14"/>
                <w:szCs w:val="14"/>
              </w:rPr>
            </w:pPr>
          </w:p>
        </w:tc>
        <w:tc>
          <w:tcPr>
            <w:tcW w:w="615" w:type="dxa"/>
          </w:tcPr>
          <w:p w14:paraId="21F511C6">
            <w:pPr>
              <w:pStyle w:val="55"/>
              <w:rPr>
                <w:sz w:val="14"/>
                <w:szCs w:val="14"/>
              </w:rPr>
            </w:pPr>
          </w:p>
        </w:tc>
        <w:tc>
          <w:tcPr>
            <w:tcW w:w="615" w:type="dxa"/>
          </w:tcPr>
          <w:p w14:paraId="51B78D9B">
            <w:pPr>
              <w:pStyle w:val="55"/>
              <w:rPr>
                <w:sz w:val="14"/>
                <w:szCs w:val="14"/>
              </w:rPr>
            </w:pPr>
          </w:p>
        </w:tc>
        <w:tc>
          <w:tcPr>
            <w:tcW w:w="615" w:type="dxa"/>
          </w:tcPr>
          <w:p w14:paraId="09C04163">
            <w:pPr>
              <w:pStyle w:val="55"/>
              <w:rPr>
                <w:sz w:val="14"/>
                <w:szCs w:val="14"/>
              </w:rPr>
            </w:pPr>
          </w:p>
        </w:tc>
      </w:tr>
      <w:tr w14:paraId="7D75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696" w:type="dxa"/>
          </w:tcPr>
          <w:p w14:paraId="22F13CE1">
            <w:pPr>
              <w:pStyle w:val="54"/>
              <w:rPr>
                <w:sz w:val="14"/>
                <w:szCs w:val="14"/>
              </w:rPr>
            </w:pPr>
            <w:r>
              <w:rPr>
                <w:sz w:val="14"/>
                <w:szCs w:val="14"/>
              </w:rPr>
              <w:t xml:space="preserve">#3 </w:t>
            </w:r>
          </w:p>
        </w:tc>
        <w:tc>
          <w:tcPr>
            <w:tcW w:w="567" w:type="dxa"/>
          </w:tcPr>
          <w:p w14:paraId="1BB93D83">
            <w:pPr>
              <w:pStyle w:val="55"/>
              <w:rPr>
                <w:sz w:val="14"/>
                <w:szCs w:val="14"/>
              </w:rPr>
            </w:pPr>
          </w:p>
        </w:tc>
        <w:tc>
          <w:tcPr>
            <w:tcW w:w="351" w:type="dxa"/>
          </w:tcPr>
          <w:p w14:paraId="2C797FCA">
            <w:pPr>
              <w:pStyle w:val="55"/>
              <w:rPr>
                <w:sz w:val="14"/>
                <w:szCs w:val="14"/>
              </w:rPr>
            </w:pPr>
          </w:p>
        </w:tc>
        <w:tc>
          <w:tcPr>
            <w:tcW w:w="542" w:type="dxa"/>
          </w:tcPr>
          <w:p w14:paraId="4C2840DF">
            <w:pPr>
              <w:pStyle w:val="55"/>
              <w:rPr>
                <w:sz w:val="14"/>
                <w:szCs w:val="14"/>
              </w:rPr>
            </w:pPr>
          </w:p>
        </w:tc>
        <w:tc>
          <w:tcPr>
            <w:tcW w:w="544" w:type="dxa"/>
          </w:tcPr>
          <w:p w14:paraId="3F4D98B5">
            <w:pPr>
              <w:pStyle w:val="55"/>
              <w:rPr>
                <w:sz w:val="14"/>
                <w:szCs w:val="14"/>
              </w:rPr>
            </w:pPr>
          </w:p>
        </w:tc>
        <w:tc>
          <w:tcPr>
            <w:tcW w:w="544" w:type="dxa"/>
          </w:tcPr>
          <w:p w14:paraId="1EE82E99">
            <w:pPr>
              <w:pStyle w:val="55"/>
              <w:rPr>
                <w:sz w:val="14"/>
                <w:szCs w:val="14"/>
              </w:rPr>
            </w:pPr>
          </w:p>
        </w:tc>
        <w:tc>
          <w:tcPr>
            <w:tcW w:w="544" w:type="dxa"/>
          </w:tcPr>
          <w:p w14:paraId="4C506B10">
            <w:pPr>
              <w:pStyle w:val="55"/>
              <w:rPr>
                <w:sz w:val="14"/>
                <w:szCs w:val="14"/>
              </w:rPr>
            </w:pPr>
          </w:p>
        </w:tc>
        <w:tc>
          <w:tcPr>
            <w:tcW w:w="544" w:type="dxa"/>
          </w:tcPr>
          <w:p w14:paraId="44282997">
            <w:pPr>
              <w:pStyle w:val="55"/>
              <w:rPr>
                <w:sz w:val="14"/>
                <w:szCs w:val="14"/>
              </w:rPr>
            </w:pPr>
          </w:p>
        </w:tc>
        <w:tc>
          <w:tcPr>
            <w:tcW w:w="544" w:type="dxa"/>
          </w:tcPr>
          <w:p w14:paraId="53D06B75">
            <w:pPr>
              <w:pStyle w:val="55"/>
              <w:rPr>
                <w:sz w:val="14"/>
                <w:szCs w:val="14"/>
              </w:rPr>
            </w:pPr>
          </w:p>
        </w:tc>
        <w:tc>
          <w:tcPr>
            <w:tcW w:w="544" w:type="dxa"/>
          </w:tcPr>
          <w:p w14:paraId="7DB74D07">
            <w:pPr>
              <w:pStyle w:val="55"/>
              <w:rPr>
                <w:sz w:val="14"/>
                <w:szCs w:val="14"/>
              </w:rPr>
            </w:pPr>
          </w:p>
        </w:tc>
        <w:tc>
          <w:tcPr>
            <w:tcW w:w="615" w:type="dxa"/>
          </w:tcPr>
          <w:p w14:paraId="7C130A76">
            <w:pPr>
              <w:pStyle w:val="55"/>
              <w:rPr>
                <w:sz w:val="14"/>
                <w:szCs w:val="14"/>
              </w:rPr>
            </w:pPr>
          </w:p>
        </w:tc>
        <w:tc>
          <w:tcPr>
            <w:tcW w:w="615" w:type="dxa"/>
          </w:tcPr>
          <w:p w14:paraId="01855A11">
            <w:pPr>
              <w:pStyle w:val="55"/>
              <w:rPr>
                <w:sz w:val="14"/>
                <w:szCs w:val="14"/>
              </w:rPr>
            </w:pPr>
          </w:p>
        </w:tc>
        <w:tc>
          <w:tcPr>
            <w:tcW w:w="615" w:type="dxa"/>
          </w:tcPr>
          <w:p w14:paraId="73DCE1C4">
            <w:pPr>
              <w:pStyle w:val="55"/>
              <w:rPr>
                <w:sz w:val="14"/>
                <w:szCs w:val="14"/>
              </w:rPr>
            </w:pPr>
          </w:p>
        </w:tc>
        <w:tc>
          <w:tcPr>
            <w:tcW w:w="615" w:type="dxa"/>
          </w:tcPr>
          <w:p w14:paraId="7BCE00C1">
            <w:pPr>
              <w:pStyle w:val="55"/>
              <w:rPr>
                <w:sz w:val="14"/>
                <w:szCs w:val="14"/>
              </w:rPr>
            </w:pPr>
          </w:p>
        </w:tc>
        <w:tc>
          <w:tcPr>
            <w:tcW w:w="615" w:type="dxa"/>
          </w:tcPr>
          <w:p w14:paraId="28FFEEB7">
            <w:pPr>
              <w:pStyle w:val="55"/>
              <w:rPr>
                <w:sz w:val="14"/>
                <w:szCs w:val="14"/>
              </w:rPr>
            </w:pPr>
          </w:p>
        </w:tc>
      </w:tr>
    </w:tbl>
    <w:p w14:paraId="267C01D8"/>
    <w:p w14:paraId="7E5F91B5">
      <w:pPr>
        <w:pStyle w:val="2"/>
      </w:pPr>
      <w:r>
        <w:t>A.2</w:t>
      </w:r>
      <w:r>
        <w:tab/>
      </w:r>
      <w:r>
        <w:t>Mapping between Key Issues and Solutions</w:t>
      </w:r>
    </w:p>
    <w:p w14:paraId="3365CF94">
      <w:pPr>
        <w:pStyle w:val="58"/>
        <w:rPr>
          <w:rFonts w:eastAsiaTheme="minorEastAsia"/>
        </w:rPr>
      </w:pPr>
      <w:r>
        <w:rPr>
          <w:rFonts w:eastAsiaTheme="minorEastAsia"/>
        </w:rPr>
        <w:t>Table A.3-1: Mapping of Solutions to Key Issues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14:paraId="1934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restart"/>
            <w:tcBorders>
              <w:top w:val="single" w:color="auto" w:sz="4" w:space="0"/>
              <w:left w:val="single" w:color="auto" w:sz="4" w:space="0"/>
              <w:right w:val="single" w:color="auto" w:sz="4" w:space="0"/>
            </w:tcBorders>
          </w:tcPr>
          <w:p w14:paraId="63D9404C">
            <w:pPr>
              <w:pStyle w:val="54"/>
              <w:rPr>
                <w:rFonts w:eastAsia="等线"/>
                <w:lang w:eastAsia="zh-CN"/>
              </w:rPr>
            </w:pPr>
            <w:r>
              <w:rPr>
                <w:rFonts w:eastAsia="等线"/>
                <w:lang w:eastAsia="zh-CN"/>
              </w:rPr>
              <w:t>Solutions</w:t>
            </w:r>
          </w:p>
        </w:tc>
        <w:tc>
          <w:tcPr>
            <w:tcW w:w="8593" w:type="dxa"/>
            <w:gridSpan w:val="19"/>
            <w:tcBorders>
              <w:top w:val="single" w:color="auto" w:sz="4" w:space="0"/>
              <w:left w:val="single" w:color="auto" w:sz="4" w:space="0"/>
              <w:bottom w:val="single" w:color="auto" w:sz="4" w:space="0"/>
              <w:right w:val="single" w:color="auto" w:sz="4" w:space="0"/>
            </w:tcBorders>
          </w:tcPr>
          <w:p w14:paraId="20849427">
            <w:pPr>
              <w:pStyle w:val="54"/>
              <w:rPr>
                <w:rFonts w:eastAsia="等线"/>
                <w:lang w:eastAsia="zh-CN"/>
              </w:rPr>
            </w:pPr>
            <w:r>
              <w:rPr>
                <w:rFonts w:eastAsia="等线"/>
                <w:lang w:eastAsia="zh-CN"/>
              </w:rPr>
              <w:t>Key Issues</w:t>
            </w:r>
          </w:p>
        </w:tc>
      </w:tr>
      <w:tr w14:paraId="5A18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continue"/>
            <w:tcBorders>
              <w:left w:val="single" w:color="auto" w:sz="4" w:space="0"/>
              <w:bottom w:val="single" w:color="auto" w:sz="4" w:space="0"/>
              <w:right w:val="single" w:color="auto" w:sz="4" w:space="0"/>
            </w:tcBorders>
          </w:tcPr>
          <w:p w14:paraId="0B9D480B">
            <w:pPr>
              <w:pStyle w:val="54"/>
              <w:rPr>
                <w:rFonts w:eastAsia="等线"/>
                <w:lang w:eastAsia="zh-CN"/>
              </w:rPr>
            </w:pPr>
          </w:p>
        </w:tc>
        <w:tc>
          <w:tcPr>
            <w:tcW w:w="787" w:type="dxa"/>
            <w:tcBorders>
              <w:top w:val="single" w:color="auto" w:sz="4" w:space="0"/>
              <w:left w:val="single" w:color="auto" w:sz="4" w:space="0"/>
              <w:bottom w:val="single" w:color="auto" w:sz="4" w:space="0"/>
              <w:right w:val="single" w:color="auto" w:sz="4" w:space="0"/>
            </w:tcBorders>
          </w:tcPr>
          <w:p w14:paraId="2BE17449">
            <w:pPr>
              <w:pStyle w:val="54"/>
              <w:rPr>
                <w:rFonts w:eastAsia="等线"/>
                <w:lang w:eastAsia="zh-CN"/>
              </w:rPr>
            </w:pPr>
            <w:r>
              <w:rPr>
                <w:rFonts w:eastAsia="等线"/>
                <w:lang w:eastAsia="zh-CN"/>
              </w:rPr>
              <w:t>#P</w:t>
            </w:r>
          </w:p>
        </w:tc>
        <w:tc>
          <w:tcPr>
            <w:tcW w:w="457" w:type="dxa"/>
            <w:tcBorders>
              <w:top w:val="single" w:color="auto" w:sz="4" w:space="0"/>
              <w:left w:val="single" w:color="auto" w:sz="4" w:space="0"/>
              <w:bottom w:val="single" w:color="auto" w:sz="4" w:space="0"/>
              <w:right w:val="single" w:color="auto" w:sz="4" w:space="0"/>
            </w:tcBorders>
          </w:tcPr>
          <w:p w14:paraId="0336E765">
            <w:pPr>
              <w:pStyle w:val="54"/>
              <w:rPr>
                <w:rFonts w:eastAsia="等线"/>
                <w:lang w:eastAsia="zh-CN"/>
              </w:rPr>
            </w:pPr>
            <w:r>
              <w:rPr>
                <w:rFonts w:eastAsia="等线"/>
                <w:lang w:eastAsia="zh-CN"/>
              </w:rPr>
              <w:t>#Q</w:t>
            </w:r>
          </w:p>
        </w:tc>
        <w:tc>
          <w:tcPr>
            <w:tcW w:w="430" w:type="dxa"/>
            <w:tcBorders>
              <w:top w:val="single" w:color="auto" w:sz="4" w:space="0"/>
              <w:left w:val="single" w:color="auto" w:sz="4" w:space="0"/>
              <w:bottom w:val="single" w:color="auto" w:sz="4" w:space="0"/>
              <w:right w:val="single" w:color="auto" w:sz="4" w:space="0"/>
            </w:tcBorders>
          </w:tcPr>
          <w:p w14:paraId="6C57BD1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FF2747">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2B79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E9B06BD">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5E2812">
            <w:pPr>
              <w:pStyle w:val="54"/>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73342935">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31DBB09">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9D0796">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38CBA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AE8939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71DE5E">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6C9AF0">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F80940B">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BC664D">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AD7EEC">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AEB139A">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75BDC21">
            <w:pPr>
              <w:pStyle w:val="54"/>
              <w:rPr>
                <w:rFonts w:eastAsia="等线"/>
                <w:lang w:eastAsia="zh-CN"/>
              </w:rPr>
            </w:pPr>
          </w:p>
        </w:tc>
      </w:tr>
      <w:tr w14:paraId="3CB6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7EF28CF9">
            <w:pPr>
              <w:pStyle w:val="54"/>
              <w:rPr>
                <w:rFonts w:eastAsia="等线"/>
                <w:lang w:eastAsia="zh-CN"/>
              </w:rPr>
            </w:pPr>
            <w:r>
              <w:rPr>
                <w:rFonts w:eastAsia="等线"/>
                <w:lang w:eastAsia="zh-CN"/>
              </w:rPr>
              <w:t>#X</w:t>
            </w:r>
          </w:p>
        </w:tc>
        <w:tc>
          <w:tcPr>
            <w:tcW w:w="787" w:type="dxa"/>
            <w:tcBorders>
              <w:top w:val="single" w:color="auto" w:sz="4" w:space="0"/>
              <w:left w:val="single" w:color="auto" w:sz="4" w:space="0"/>
              <w:bottom w:val="single" w:color="auto" w:sz="4" w:space="0"/>
              <w:right w:val="single" w:color="auto" w:sz="4" w:space="0"/>
            </w:tcBorders>
          </w:tcPr>
          <w:p w14:paraId="3A171F66">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241C581C">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6E6CEBA8">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982CA">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33B7BD7">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0AB5A1">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1E6C91D">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3DBE3F7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695A1A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567734F">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CBF904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0E503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C27AA0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8B22E1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9F5C5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AA60E4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F7DCA9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D23A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71B486C">
            <w:pPr>
              <w:pStyle w:val="55"/>
              <w:rPr>
                <w:rFonts w:eastAsia="等线"/>
                <w:lang w:eastAsia="zh-CN"/>
              </w:rPr>
            </w:pPr>
          </w:p>
        </w:tc>
      </w:tr>
      <w:tr w14:paraId="4DB3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19FD8F1">
            <w:pPr>
              <w:pStyle w:val="54"/>
              <w:rPr>
                <w:rFonts w:eastAsia="等线"/>
                <w:lang w:eastAsia="zh-CN"/>
              </w:rPr>
            </w:pPr>
            <w:r>
              <w:rPr>
                <w:rFonts w:eastAsia="等线"/>
                <w:lang w:eastAsia="zh-CN"/>
              </w:rPr>
              <w:t>#Y</w:t>
            </w:r>
          </w:p>
        </w:tc>
        <w:tc>
          <w:tcPr>
            <w:tcW w:w="787" w:type="dxa"/>
            <w:tcBorders>
              <w:top w:val="single" w:color="auto" w:sz="4" w:space="0"/>
              <w:left w:val="single" w:color="auto" w:sz="4" w:space="0"/>
              <w:bottom w:val="single" w:color="auto" w:sz="4" w:space="0"/>
              <w:right w:val="single" w:color="auto" w:sz="4" w:space="0"/>
            </w:tcBorders>
          </w:tcPr>
          <w:p w14:paraId="5C526400">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5FD334A8">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4497F702">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4EBE9BC">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39729B40">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BACACD">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5031189">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1C4806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A7DA0E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931A2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5E752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0C0205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5A4BF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53B04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19E4EC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4066E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EB7AFFD">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7E7461E">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E79B221">
            <w:pPr>
              <w:pStyle w:val="55"/>
              <w:rPr>
                <w:rFonts w:eastAsia="等线"/>
                <w:lang w:eastAsia="zh-CN"/>
              </w:rPr>
            </w:pPr>
          </w:p>
        </w:tc>
      </w:tr>
    </w:tbl>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AE6F6D"/>
    <w:multiLevelType w:val="singleLevel"/>
    <w:tmpl w:val="07AE6F6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7CE4"/>
    <w:rsid w:val="001B093A"/>
    <w:rsid w:val="001B09D9"/>
    <w:rsid w:val="001B0C2F"/>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788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55E7"/>
    <w:rsid w:val="0094216E"/>
    <w:rsid w:val="00943C2B"/>
    <w:rsid w:val="00956964"/>
    <w:rsid w:val="00956E21"/>
    <w:rsid w:val="009613B4"/>
    <w:rsid w:val="00971FD2"/>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680C5E"/>
    <w:rsid w:val="01822573"/>
    <w:rsid w:val="01891193"/>
    <w:rsid w:val="020016E9"/>
    <w:rsid w:val="02034E23"/>
    <w:rsid w:val="021B0EF2"/>
    <w:rsid w:val="02341E39"/>
    <w:rsid w:val="02C34085"/>
    <w:rsid w:val="02FC1AC3"/>
    <w:rsid w:val="038F6065"/>
    <w:rsid w:val="03E66A74"/>
    <w:rsid w:val="0458580D"/>
    <w:rsid w:val="04910D1F"/>
    <w:rsid w:val="04CD3654"/>
    <w:rsid w:val="05AB5E10"/>
    <w:rsid w:val="073267E9"/>
    <w:rsid w:val="07B53F8A"/>
    <w:rsid w:val="084D5F4D"/>
    <w:rsid w:val="088E0696"/>
    <w:rsid w:val="08B63DD9"/>
    <w:rsid w:val="08CA4C78"/>
    <w:rsid w:val="08DD4B2A"/>
    <w:rsid w:val="09246501"/>
    <w:rsid w:val="09575C4D"/>
    <w:rsid w:val="09993220"/>
    <w:rsid w:val="09A8018A"/>
    <w:rsid w:val="0A2569C5"/>
    <w:rsid w:val="0A4A6F54"/>
    <w:rsid w:val="0B17311C"/>
    <w:rsid w:val="0B250BAE"/>
    <w:rsid w:val="0B8F0122"/>
    <w:rsid w:val="0BA076AD"/>
    <w:rsid w:val="0BC70F46"/>
    <w:rsid w:val="0BCD5941"/>
    <w:rsid w:val="0D003464"/>
    <w:rsid w:val="0D576FA9"/>
    <w:rsid w:val="0DEB68E4"/>
    <w:rsid w:val="0DF86616"/>
    <w:rsid w:val="0E041A0C"/>
    <w:rsid w:val="0E062050"/>
    <w:rsid w:val="0E3746E5"/>
    <w:rsid w:val="0E907072"/>
    <w:rsid w:val="0EA3277B"/>
    <w:rsid w:val="0EB96FB0"/>
    <w:rsid w:val="0ED07E5C"/>
    <w:rsid w:val="0F044E32"/>
    <w:rsid w:val="0F4A5BA4"/>
    <w:rsid w:val="0FE148D9"/>
    <w:rsid w:val="0FF77685"/>
    <w:rsid w:val="101D7AFE"/>
    <w:rsid w:val="106A208B"/>
    <w:rsid w:val="107A1F72"/>
    <w:rsid w:val="1090155C"/>
    <w:rsid w:val="112E6EBB"/>
    <w:rsid w:val="118956E7"/>
    <w:rsid w:val="11B24841"/>
    <w:rsid w:val="11EC522D"/>
    <w:rsid w:val="11F70688"/>
    <w:rsid w:val="12394975"/>
    <w:rsid w:val="1295728D"/>
    <w:rsid w:val="13725976"/>
    <w:rsid w:val="1373053C"/>
    <w:rsid w:val="1388456C"/>
    <w:rsid w:val="13A670CA"/>
    <w:rsid w:val="14A26281"/>
    <w:rsid w:val="15024C97"/>
    <w:rsid w:val="153041A6"/>
    <w:rsid w:val="15523360"/>
    <w:rsid w:val="15692C96"/>
    <w:rsid w:val="15A00DC2"/>
    <w:rsid w:val="16AA4D6D"/>
    <w:rsid w:val="17221443"/>
    <w:rsid w:val="177E21A4"/>
    <w:rsid w:val="17CC31F4"/>
    <w:rsid w:val="17DD0A7A"/>
    <w:rsid w:val="18CE6E17"/>
    <w:rsid w:val="19063631"/>
    <w:rsid w:val="195F7C30"/>
    <w:rsid w:val="198E19EC"/>
    <w:rsid w:val="19F5000A"/>
    <w:rsid w:val="1A0D324C"/>
    <w:rsid w:val="1A0E09F0"/>
    <w:rsid w:val="1B495788"/>
    <w:rsid w:val="1BDB2542"/>
    <w:rsid w:val="1BF451CD"/>
    <w:rsid w:val="1C091D8D"/>
    <w:rsid w:val="1CBD3C6A"/>
    <w:rsid w:val="1CF57A8F"/>
    <w:rsid w:val="1D1125BF"/>
    <w:rsid w:val="1D222970"/>
    <w:rsid w:val="1D756C35"/>
    <w:rsid w:val="1D806164"/>
    <w:rsid w:val="1D854F62"/>
    <w:rsid w:val="1D8E0577"/>
    <w:rsid w:val="1E1B2A71"/>
    <w:rsid w:val="1E6F26C5"/>
    <w:rsid w:val="1E72493D"/>
    <w:rsid w:val="1E7A4110"/>
    <w:rsid w:val="1E8B62E2"/>
    <w:rsid w:val="1E8E06C2"/>
    <w:rsid w:val="1E9D1640"/>
    <w:rsid w:val="1EA336D1"/>
    <w:rsid w:val="1EF83782"/>
    <w:rsid w:val="1F0771F7"/>
    <w:rsid w:val="1F212DDF"/>
    <w:rsid w:val="1FD72DA6"/>
    <w:rsid w:val="1FF535FC"/>
    <w:rsid w:val="20016E9F"/>
    <w:rsid w:val="207728D1"/>
    <w:rsid w:val="20D234E6"/>
    <w:rsid w:val="20D73BEF"/>
    <w:rsid w:val="20EA1769"/>
    <w:rsid w:val="2124626D"/>
    <w:rsid w:val="216827F1"/>
    <w:rsid w:val="21B6105F"/>
    <w:rsid w:val="22213365"/>
    <w:rsid w:val="237F470C"/>
    <w:rsid w:val="247B506A"/>
    <w:rsid w:val="24950333"/>
    <w:rsid w:val="25CD5911"/>
    <w:rsid w:val="262C38EB"/>
    <w:rsid w:val="2690611C"/>
    <w:rsid w:val="26AF453E"/>
    <w:rsid w:val="26B12C2C"/>
    <w:rsid w:val="26B63CA1"/>
    <w:rsid w:val="26F61EFB"/>
    <w:rsid w:val="27435A51"/>
    <w:rsid w:val="27747CB6"/>
    <w:rsid w:val="27775CC4"/>
    <w:rsid w:val="279C5438"/>
    <w:rsid w:val="27A20A97"/>
    <w:rsid w:val="289406A2"/>
    <w:rsid w:val="290E23A4"/>
    <w:rsid w:val="294A397A"/>
    <w:rsid w:val="298F3DBD"/>
    <w:rsid w:val="29975559"/>
    <w:rsid w:val="29ED4157"/>
    <w:rsid w:val="29FB5DB9"/>
    <w:rsid w:val="2A574444"/>
    <w:rsid w:val="2AA24C88"/>
    <w:rsid w:val="2B044D71"/>
    <w:rsid w:val="2B1E12BC"/>
    <w:rsid w:val="2B225799"/>
    <w:rsid w:val="2B4F7D3E"/>
    <w:rsid w:val="2B552424"/>
    <w:rsid w:val="2BA8564E"/>
    <w:rsid w:val="2BBB56F6"/>
    <w:rsid w:val="2C5A1CD2"/>
    <w:rsid w:val="2C602447"/>
    <w:rsid w:val="2C9A34F8"/>
    <w:rsid w:val="2CFD6DC0"/>
    <w:rsid w:val="2D192F06"/>
    <w:rsid w:val="2D303EC8"/>
    <w:rsid w:val="2D382D71"/>
    <w:rsid w:val="2D554C52"/>
    <w:rsid w:val="2E13000A"/>
    <w:rsid w:val="2E1B70E9"/>
    <w:rsid w:val="2E32151A"/>
    <w:rsid w:val="2E517468"/>
    <w:rsid w:val="2F171C9D"/>
    <w:rsid w:val="2F3F6D74"/>
    <w:rsid w:val="2F4A23A5"/>
    <w:rsid w:val="30340BF5"/>
    <w:rsid w:val="304D1306"/>
    <w:rsid w:val="308333A6"/>
    <w:rsid w:val="30A3673F"/>
    <w:rsid w:val="31045716"/>
    <w:rsid w:val="317C5C8C"/>
    <w:rsid w:val="31837ABD"/>
    <w:rsid w:val="318F7BD4"/>
    <w:rsid w:val="31C439B2"/>
    <w:rsid w:val="321C75E9"/>
    <w:rsid w:val="32511784"/>
    <w:rsid w:val="327C0C9B"/>
    <w:rsid w:val="347325C0"/>
    <w:rsid w:val="349E40E0"/>
    <w:rsid w:val="34AC731F"/>
    <w:rsid w:val="34B064B9"/>
    <w:rsid w:val="34E53962"/>
    <w:rsid w:val="351C27B0"/>
    <w:rsid w:val="352C3FC8"/>
    <w:rsid w:val="354A0A39"/>
    <w:rsid w:val="357069B7"/>
    <w:rsid w:val="357B0318"/>
    <w:rsid w:val="35824E60"/>
    <w:rsid w:val="360A0D3D"/>
    <w:rsid w:val="36A520B9"/>
    <w:rsid w:val="36E51995"/>
    <w:rsid w:val="37086AD8"/>
    <w:rsid w:val="37266088"/>
    <w:rsid w:val="374B1CF6"/>
    <w:rsid w:val="3764396F"/>
    <w:rsid w:val="378D6FA0"/>
    <w:rsid w:val="37F479DA"/>
    <w:rsid w:val="38026CF0"/>
    <w:rsid w:val="38C116AD"/>
    <w:rsid w:val="38EF5674"/>
    <w:rsid w:val="393E0C76"/>
    <w:rsid w:val="39D6666B"/>
    <w:rsid w:val="39E12011"/>
    <w:rsid w:val="3A6724BC"/>
    <w:rsid w:val="3A751FF8"/>
    <w:rsid w:val="3ADF083A"/>
    <w:rsid w:val="3B1B48C3"/>
    <w:rsid w:val="3B344A3C"/>
    <w:rsid w:val="3B555A2E"/>
    <w:rsid w:val="3B6F06B2"/>
    <w:rsid w:val="3B8561E0"/>
    <w:rsid w:val="3C66685A"/>
    <w:rsid w:val="3C75071A"/>
    <w:rsid w:val="3CE73FFB"/>
    <w:rsid w:val="3CEA3F3E"/>
    <w:rsid w:val="3D4C5F1D"/>
    <w:rsid w:val="3D9B71F8"/>
    <w:rsid w:val="3D9D02A6"/>
    <w:rsid w:val="3E1A79F2"/>
    <w:rsid w:val="3EC20000"/>
    <w:rsid w:val="3ED86481"/>
    <w:rsid w:val="3F19736B"/>
    <w:rsid w:val="3F246E28"/>
    <w:rsid w:val="3F2665DB"/>
    <w:rsid w:val="3F855340"/>
    <w:rsid w:val="3FA6711C"/>
    <w:rsid w:val="40F62955"/>
    <w:rsid w:val="41A832C4"/>
    <w:rsid w:val="42406AE6"/>
    <w:rsid w:val="429D0359"/>
    <w:rsid w:val="44126C12"/>
    <w:rsid w:val="44AD6911"/>
    <w:rsid w:val="454937BA"/>
    <w:rsid w:val="4564347D"/>
    <w:rsid w:val="456C1863"/>
    <w:rsid w:val="45B06662"/>
    <w:rsid w:val="45C72144"/>
    <w:rsid w:val="45E45D6C"/>
    <w:rsid w:val="4603066A"/>
    <w:rsid w:val="46942157"/>
    <w:rsid w:val="46F53476"/>
    <w:rsid w:val="472707CD"/>
    <w:rsid w:val="47412287"/>
    <w:rsid w:val="475B1994"/>
    <w:rsid w:val="475D292F"/>
    <w:rsid w:val="47800E5B"/>
    <w:rsid w:val="47AB5220"/>
    <w:rsid w:val="47CD093E"/>
    <w:rsid w:val="481E765C"/>
    <w:rsid w:val="483754A4"/>
    <w:rsid w:val="48B732C5"/>
    <w:rsid w:val="48FB1A87"/>
    <w:rsid w:val="494278AB"/>
    <w:rsid w:val="49494CF1"/>
    <w:rsid w:val="49635A3D"/>
    <w:rsid w:val="4A6F152E"/>
    <w:rsid w:val="4A8C7838"/>
    <w:rsid w:val="4ABD76A3"/>
    <w:rsid w:val="4B451499"/>
    <w:rsid w:val="4BD56877"/>
    <w:rsid w:val="4C143DDD"/>
    <w:rsid w:val="4CAB258D"/>
    <w:rsid w:val="4CB074DF"/>
    <w:rsid w:val="4CDB5DA5"/>
    <w:rsid w:val="4D23575F"/>
    <w:rsid w:val="4D2F3A60"/>
    <w:rsid w:val="4D834470"/>
    <w:rsid w:val="4D8D144B"/>
    <w:rsid w:val="4DA954F8"/>
    <w:rsid w:val="4DC849DA"/>
    <w:rsid w:val="4F391765"/>
    <w:rsid w:val="4F45257C"/>
    <w:rsid w:val="4F6B78DB"/>
    <w:rsid w:val="4F6F15E1"/>
    <w:rsid w:val="4F8B0945"/>
    <w:rsid w:val="4FE528A4"/>
    <w:rsid w:val="500A39DE"/>
    <w:rsid w:val="50B15470"/>
    <w:rsid w:val="50DB3AEE"/>
    <w:rsid w:val="511C49D5"/>
    <w:rsid w:val="513F61A5"/>
    <w:rsid w:val="52B85BC6"/>
    <w:rsid w:val="52DC127D"/>
    <w:rsid w:val="534F3992"/>
    <w:rsid w:val="535A0236"/>
    <w:rsid w:val="535F1F4D"/>
    <w:rsid w:val="54F85E13"/>
    <w:rsid w:val="550259DF"/>
    <w:rsid w:val="55AF2A84"/>
    <w:rsid w:val="55C53DDA"/>
    <w:rsid w:val="55E73764"/>
    <w:rsid w:val="56635347"/>
    <w:rsid w:val="56E53CCF"/>
    <w:rsid w:val="577B33D6"/>
    <w:rsid w:val="57A85FDD"/>
    <w:rsid w:val="57D4604C"/>
    <w:rsid w:val="583E1753"/>
    <w:rsid w:val="584026D9"/>
    <w:rsid w:val="58547A61"/>
    <w:rsid w:val="58CE3242"/>
    <w:rsid w:val="58F94086"/>
    <w:rsid w:val="59514F24"/>
    <w:rsid w:val="59FE5684"/>
    <w:rsid w:val="5A006E37"/>
    <w:rsid w:val="5C1E54E6"/>
    <w:rsid w:val="5C465896"/>
    <w:rsid w:val="5C5656FB"/>
    <w:rsid w:val="5C575ECB"/>
    <w:rsid w:val="5C9759FE"/>
    <w:rsid w:val="5CE7687A"/>
    <w:rsid w:val="5D862F00"/>
    <w:rsid w:val="5DDE1391"/>
    <w:rsid w:val="5DDF358F"/>
    <w:rsid w:val="5E3F3F3F"/>
    <w:rsid w:val="5E6D2A13"/>
    <w:rsid w:val="5ED26F4F"/>
    <w:rsid w:val="5ED42A73"/>
    <w:rsid w:val="5F925B11"/>
    <w:rsid w:val="60526897"/>
    <w:rsid w:val="60CF4A66"/>
    <w:rsid w:val="612D3C7B"/>
    <w:rsid w:val="616F244D"/>
    <w:rsid w:val="61765028"/>
    <w:rsid w:val="622B1C79"/>
    <w:rsid w:val="624E0F13"/>
    <w:rsid w:val="62F92F29"/>
    <w:rsid w:val="63175A08"/>
    <w:rsid w:val="634C17BE"/>
    <w:rsid w:val="635F570D"/>
    <w:rsid w:val="63FE731D"/>
    <w:rsid w:val="64400562"/>
    <w:rsid w:val="645268DD"/>
    <w:rsid w:val="64555BC0"/>
    <w:rsid w:val="64E50514"/>
    <w:rsid w:val="650006E3"/>
    <w:rsid w:val="6607602D"/>
    <w:rsid w:val="661C6EBD"/>
    <w:rsid w:val="667154C6"/>
    <w:rsid w:val="66C45526"/>
    <w:rsid w:val="66D457C1"/>
    <w:rsid w:val="66DB2FD4"/>
    <w:rsid w:val="66DF73D5"/>
    <w:rsid w:val="66F74A7C"/>
    <w:rsid w:val="674C151B"/>
    <w:rsid w:val="676705B3"/>
    <w:rsid w:val="67F25F98"/>
    <w:rsid w:val="680B7554"/>
    <w:rsid w:val="680F7AC7"/>
    <w:rsid w:val="681364CD"/>
    <w:rsid w:val="682341A6"/>
    <w:rsid w:val="683226F9"/>
    <w:rsid w:val="68380F62"/>
    <w:rsid w:val="68425464"/>
    <w:rsid w:val="68745F2D"/>
    <w:rsid w:val="68AF601C"/>
    <w:rsid w:val="691B590A"/>
    <w:rsid w:val="69212E07"/>
    <w:rsid w:val="69393D31"/>
    <w:rsid w:val="69424D99"/>
    <w:rsid w:val="69586B2A"/>
    <w:rsid w:val="698450AA"/>
    <w:rsid w:val="69F273EE"/>
    <w:rsid w:val="69FF685E"/>
    <w:rsid w:val="6A1011E7"/>
    <w:rsid w:val="6A16241A"/>
    <w:rsid w:val="6A2349DC"/>
    <w:rsid w:val="6A2F5543"/>
    <w:rsid w:val="6A667C1B"/>
    <w:rsid w:val="6AA50A05"/>
    <w:rsid w:val="6AF44007"/>
    <w:rsid w:val="6B667481"/>
    <w:rsid w:val="6B880FF7"/>
    <w:rsid w:val="6BE50B5D"/>
    <w:rsid w:val="6BFA622B"/>
    <w:rsid w:val="6C2C7E2E"/>
    <w:rsid w:val="6C7F49DE"/>
    <w:rsid w:val="6CAE6026"/>
    <w:rsid w:val="6CC22A42"/>
    <w:rsid w:val="6CFA7F2C"/>
    <w:rsid w:val="6D717E9F"/>
    <w:rsid w:val="6E41530E"/>
    <w:rsid w:val="6E8822D0"/>
    <w:rsid w:val="6EFE4E26"/>
    <w:rsid w:val="6F131548"/>
    <w:rsid w:val="6FC80329"/>
    <w:rsid w:val="6FDF0FC9"/>
    <w:rsid w:val="70CA25C0"/>
    <w:rsid w:val="711815B5"/>
    <w:rsid w:val="718501AF"/>
    <w:rsid w:val="719B56EF"/>
    <w:rsid w:val="71D85554"/>
    <w:rsid w:val="71EE645F"/>
    <w:rsid w:val="72432714"/>
    <w:rsid w:val="72565E22"/>
    <w:rsid w:val="726C028A"/>
    <w:rsid w:val="727A2A79"/>
    <w:rsid w:val="72A24EE4"/>
    <w:rsid w:val="72FF7277"/>
    <w:rsid w:val="738F7283"/>
    <w:rsid w:val="739F4EC0"/>
    <w:rsid w:val="73B0602A"/>
    <w:rsid w:val="73F84155"/>
    <w:rsid w:val="73FE3C1B"/>
    <w:rsid w:val="7450169B"/>
    <w:rsid w:val="74AF09C1"/>
    <w:rsid w:val="74D61027"/>
    <w:rsid w:val="74DE6B13"/>
    <w:rsid w:val="74E4243A"/>
    <w:rsid w:val="74F6076D"/>
    <w:rsid w:val="75C06B19"/>
    <w:rsid w:val="76091AB6"/>
    <w:rsid w:val="765353AD"/>
    <w:rsid w:val="769E5A34"/>
    <w:rsid w:val="76CB1D9E"/>
    <w:rsid w:val="76DC2836"/>
    <w:rsid w:val="76F667DF"/>
    <w:rsid w:val="77000D49"/>
    <w:rsid w:val="77114A0B"/>
    <w:rsid w:val="7728668A"/>
    <w:rsid w:val="77D36B23"/>
    <w:rsid w:val="782557BB"/>
    <w:rsid w:val="78693C6D"/>
    <w:rsid w:val="789E3E62"/>
    <w:rsid w:val="78F64351"/>
    <w:rsid w:val="79317DBC"/>
    <w:rsid w:val="798110B1"/>
    <w:rsid w:val="79B64C9F"/>
    <w:rsid w:val="79E14685"/>
    <w:rsid w:val="79EA0F1A"/>
    <w:rsid w:val="7A0177CE"/>
    <w:rsid w:val="7A3E6F9D"/>
    <w:rsid w:val="7A576F7D"/>
    <w:rsid w:val="7A861051"/>
    <w:rsid w:val="7AB75F2D"/>
    <w:rsid w:val="7B492B25"/>
    <w:rsid w:val="7B523A2D"/>
    <w:rsid w:val="7B5D0D24"/>
    <w:rsid w:val="7B662909"/>
    <w:rsid w:val="7B926784"/>
    <w:rsid w:val="7BA07DAA"/>
    <w:rsid w:val="7BB6521A"/>
    <w:rsid w:val="7C05637D"/>
    <w:rsid w:val="7C5867DC"/>
    <w:rsid w:val="7C792C12"/>
    <w:rsid w:val="7C811F23"/>
    <w:rsid w:val="7CEA2CFB"/>
    <w:rsid w:val="7CEC6317"/>
    <w:rsid w:val="7D8A0903"/>
    <w:rsid w:val="7D8F476B"/>
    <w:rsid w:val="7DB139A6"/>
    <w:rsid w:val="7DB71466"/>
    <w:rsid w:val="7DF76D39"/>
    <w:rsid w:val="7E2D723B"/>
    <w:rsid w:val="7E851E42"/>
    <w:rsid w:val="7F180B8A"/>
    <w:rsid w:val="7FD01E42"/>
    <w:rsid w:val="7FF07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Date"/>
    <w:basedOn w:val="1"/>
    <w:next w:val="1"/>
    <w:link w:val="96"/>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5"/>
    <w:link w:val="35"/>
    <w:qFormat/>
    <w:uiPriority w:val="0"/>
    <w:rPr>
      <w:rFonts w:ascii="Arial" w:hAnsi="Arial"/>
      <w:b/>
      <w:sz w:val="18"/>
      <w:lang w:eastAsia="en-US"/>
    </w:rPr>
  </w:style>
  <w:style w:type="character" w:customStyle="1" w:styleId="90">
    <w:name w:val="Editor's Note Char"/>
    <w:link w:val="76"/>
    <w:qFormat/>
    <w:locked/>
    <w:uiPriority w:val="0"/>
    <w:rPr>
      <w:rFonts w:ascii="Times New Roman" w:hAnsi="Times New Roman"/>
      <w:color w:val="FF0000"/>
      <w:lang w:eastAsia="en-US"/>
    </w:rPr>
  </w:style>
  <w:style w:type="character" w:customStyle="1" w:styleId="91">
    <w:name w:val="Subtle Emphasis"/>
    <w:qFormat/>
    <w:uiPriority w:val="19"/>
    <w:rPr>
      <w:i/>
      <w:iCs/>
      <w:color w:val="404040"/>
    </w:rPr>
  </w:style>
  <w:style w:type="character" w:customStyle="1" w:styleId="92">
    <w:name w:val="Comment Text Char"/>
    <w:basedOn w:val="45"/>
    <w:link w:val="29"/>
    <w:semiHidden/>
    <w:qFormat/>
    <w:uiPriority w:val="99"/>
    <w:rPr>
      <w:rFonts w:ascii="Times New Roman" w:hAnsi="Times New Roman"/>
      <w:lang w:eastAsia="en-US"/>
    </w:rPr>
  </w:style>
  <w:style w:type="paragraph" w:styleId="93">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4">
    <w:name w:val="TAH Car"/>
    <w:qFormat/>
    <w:uiPriority w:val="0"/>
    <w:rPr>
      <w:rFonts w:ascii="Arial" w:hAnsi="Arial" w:eastAsia="Times New Roman"/>
      <w:b/>
      <w:sz w:val="18"/>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Date Char"/>
    <w:basedOn w:val="45"/>
    <w:link w:val="3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1472</Words>
  <Characters>9332</Characters>
  <Lines>24</Lines>
  <Paragraphs>6</Paragraphs>
  <TotalTime>6</TotalTime>
  <ScaleCrop>false</ScaleCrop>
  <LinksUpToDate>false</LinksUpToDate>
  <CharactersWithSpaces>10715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2026-01-13T02:38:00Z</dcterms:created>
  <dc:creator>Michael Sanders, John M Meredith</dc:creator>
  <cp:lastModifiedBy>leetao</cp:lastModifiedBy>
  <cp:lastPrinted>2411-12-31T08:00:00Z</cp:lastPrinted>
  <dcterms:modified xsi:type="dcterms:W3CDTF">2026-01-29T06:18:05Z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52C30B5E5E3A4DEAA6B148C3438C1224_13</vt:lpwstr>
  </property>
  <property fmtid="{D5CDD505-2E9C-101B-9397-08002B2CF9AE}" pid="5" name="KSOTemplateDocerSaveRecord">
    <vt:lpwstr>eyJoZGlkIjoiMzYwYWE2ZGE2OWRmMDA1ZTU4MTc3YjdhOWM1NzIzMTkiLCJ1c2VySWQiOiIxNzgxODczODYxIn0=</vt:lpwstr>
  </property>
</Properties>
</file>